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A5" w:rsidRPr="00A16A52" w:rsidRDefault="00543046" w:rsidP="00AF0116">
      <w:pPr>
        <w:widowControl/>
        <w:shd w:val="clear" w:color="auto" w:fill="FFFFFF"/>
        <w:spacing w:line="560" w:lineRule="exact"/>
        <w:jc w:val="center"/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</w:pPr>
      <w:r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桂林理工大学南宁分校</w:t>
      </w:r>
      <w:r w:rsidR="00F418EA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党支部书记</w:t>
      </w:r>
      <w:r w:rsidR="00F418EA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“</w:t>
      </w:r>
      <w:r w:rsidR="00F418EA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不忘初心、牢记使命</w:t>
      </w:r>
      <w:r w:rsidR="00F418EA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”</w:t>
      </w:r>
      <w:r w:rsidR="00F418EA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主题教育专题</w:t>
      </w:r>
      <w:r w:rsidR="009254A5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培训班</w:t>
      </w:r>
      <w:r w:rsidR="00DB0903" w:rsidRPr="00A16A52">
        <w:rPr>
          <w:rFonts w:ascii="Times New Roman" w:eastAsia="方正小标宋简体" w:hAnsi="Times New Roman" w:cs="Times New Roman"/>
          <w:bCs/>
          <w:color w:val="2F2727"/>
          <w:sz w:val="36"/>
          <w:szCs w:val="36"/>
        </w:rPr>
        <w:t>方案</w:t>
      </w:r>
    </w:p>
    <w:p w:rsidR="00DB0903" w:rsidRPr="00A16A52" w:rsidRDefault="00DB0903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9254A5" w:rsidRPr="00A16A52" w:rsidRDefault="00F418EA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为深入学</w:t>
      </w:r>
      <w:proofErr w:type="gramStart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习习近</w:t>
      </w:r>
      <w:proofErr w:type="gramEnd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平新时代中国特色社会主义思想，根据《桂林理工大学开展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主题教育实施方案》（桂</w:t>
      </w:r>
      <w:proofErr w:type="gramStart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理工党</w:t>
      </w:r>
      <w:proofErr w:type="gramEnd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〔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〕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22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号）和《桂林理工大学南宁分校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主题教育实施方案》文件精神，</w:t>
      </w:r>
      <w:r w:rsidR="006C7770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加强基层党组织书记政治建设，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推进全面从严治党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，发挥好基层党支部的战斗堡垒作用和党员干部的先锋模范作用，经研究，决定举</w:t>
      </w:r>
      <w:r w:rsidR="00580B82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办</w:t>
      </w:r>
      <w:r w:rsidR="00543046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桂林理工大学南宁分校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党支部书记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不忘初心、牢记使命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主题教育专题培训班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一、指导思想</w:t>
      </w:r>
      <w:r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 xml:space="preserve"> </w:t>
      </w:r>
    </w:p>
    <w:p w:rsidR="009254A5" w:rsidRPr="00A16A52" w:rsidRDefault="00C31AC5" w:rsidP="00AF0116">
      <w:pPr>
        <w:widowControl/>
        <w:shd w:val="clear" w:color="auto" w:fill="FFFFFF"/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以习近平新时代中国特色社会主义思想为指导</w:t>
      </w:r>
      <w:r w:rsidR="00543046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紧扣习近平总书记关于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重要论述，</w:t>
      </w:r>
      <w:r w:rsidR="00543046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围绕全面从严治党和分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校中心工作要求，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重点组织学</w:t>
      </w:r>
      <w:proofErr w:type="gramStart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习习近</w:t>
      </w:r>
      <w:proofErr w:type="gramEnd"/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平总书记新时代中国特色社会主义思想和党中央关于开展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主题教育的部署要求，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扎实推进基层党支部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强基固本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工程，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帮助分校各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党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支部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书记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进一步增强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四个意识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，坚定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四个自信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，做到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“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两个维护</w:t>
      </w:r>
      <w:r w:rsidR="00D40979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”</w:t>
      </w:r>
      <w:r w:rsidR="00C54648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，推动分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校基层党组织建设再上新台阶。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kern w:val="0"/>
          <w:sz w:val="32"/>
          <w:szCs w:val="32"/>
        </w:rPr>
        <w:t>二、培训对象</w:t>
      </w:r>
    </w:p>
    <w:p w:rsidR="009254A5" w:rsidRPr="00A16A52" w:rsidRDefault="00C54648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分校全体</w:t>
      </w:r>
      <w:r w:rsidR="00C31AC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党支部书记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kern w:val="0"/>
          <w:sz w:val="32"/>
          <w:szCs w:val="32"/>
        </w:rPr>
        <w:t>三、培训时间</w:t>
      </w:r>
    </w:p>
    <w:p w:rsidR="00C31AC5" w:rsidRPr="00A16A52" w:rsidRDefault="00C31AC5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2019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年</w:t>
      </w:r>
      <w:r w:rsidR="00D63590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月</w:t>
      </w:r>
      <w:r w:rsidR="00A16A52">
        <w:rPr>
          <w:rFonts w:ascii="Times New Roman" w:eastAsia="方正仿宋_GBK" w:hAnsi="Times New Roman" w:cs="Times New Roman" w:hint="eastAsia"/>
          <w:sz w:val="32"/>
          <w:szCs w:val="32"/>
        </w:rPr>
        <w:t>下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旬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—11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月中旬</w:t>
      </w:r>
      <w:r w:rsidR="00E15CB7" w:rsidRPr="00A16A52">
        <w:rPr>
          <w:rFonts w:ascii="Times New Roman" w:eastAsia="方正仿宋_GBK" w:hAnsi="Times New Roman" w:cs="Times New Roman"/>
          <w:sz w:val="32"/>
          <w:szCs w:val="32"/>
        </w:rPr>
        <w:t>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kern w:val="0"/>
          <w:sz w:val="32"/>
          <w:szCs w:val="32"/>
        </w:rPr>
        <w:t>四、培训内容</w:t>
      </w:r>
      <w:r w:rsidR="00C31AC5" w:rsidRPr="00A16A52">
        <w:rPr>
          <w:rFonts w:ascii="Times New Roman" w:eastAsia="黑体" w:hAnsi="Times New Roman" w:cs="Times New Roman"/>
          <w:kern w:val="0"/>
          <w:sz w:val="32"/>
          <w:szCs w:val="32"/>
        </w:rPr>
        <w:t>及形式</w:t>
      </w:r>
    </w:p>
    <w:p w:rsidR="00C31AC5" w:rsidRPr="00A16A52" w:rsidRDefault="00C31AC5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本次干部培训采取集中辅导和自主学习相结合的方式进行，主要以专题讲座、视频教学、自主学习、讨论交流、现场教学等。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lastRenderedPageBreak/>
        <w:t>具体培训日程安排见附件。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五、学习文献篇目</w:t>
      </w:r>
    </w:p>
    <w:p w:rsidR="001F04C4" w:rsidRPr="00A16A52" w:rsidRDefault="001F04C4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1.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《中国共产党章程》</w:t>
      </w:r>
    </w:p>
    <w:p w:rsidR="001F04C4" w:rsidRPr="00A16A52" w:rsidRDefault="001F04C4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2.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《习近平关于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重要论述选编》</w:t>
      </w:r>
    </w:p>
    <w:p w:rsidR="001F04C4" w:rsidRPr="00A16A52" w:rsidRDefault="001F04C4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3.</w:t>
      </w: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 xml:space="preserve"> </w:t>
      </w: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《习近平新时代中国特色社会主义思想学习纲要》</w:t>
      </w:r>
    </w:p>
    <w:p w:rsidR="001F04C4" w:rsidRPr="00A16A52" w:rsidRDefault="001F04C4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习近平总书记在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主题教育工作会议上的讲话</w:t>
      </w:r>
    </w:p>
    <w:p w:rsidR="001F04C4" w:rsidRPr="00A16A52" w:rsidRDefault="008A2507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4</w:t>
      </w:r>
      <w:r w:rsidR="001F04C4" w:rsidRPr="00A16A52">
        <w:rPr>
          <w:rFonts w:ascii="Times New Roman" w:eastAsia="方正仿宋_GBK" w:hAnsi="Times New Roman" w:cs="Times New Roman"/>
          <w:sz w:val="32"/>
          <w:szCs w:val="32"/>
        </w:rPr>
        <w:t>.</w:t>
      </w:r>
      <w:r w:rsidR="001F04C4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《中国共产党党内重要法规汇编》</w:t>
      </w:r>
    </w:p>
    <w:p w:rsidR="001F04C4" w:rsidRPr="00A16A52" w:rsidRDefault="008A2507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5</w:t>
      </w:r>
      <w:r w:rsidR="001F04C4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.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 xml:space="preserve"> 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《关于在全党开展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不忘初心、牢记使命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主题教育的意见》</w:t>
      </w:r>
    </w:p>
    <w:p w:rsidR="00465A39" w:rsidRPr="00A16A52" w:rsidRDefault="008A2507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6.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习近平总书记关于民族工作和教育的重要论述</w:t>
      </w:r>
    </w:p>
    <w:p w:rsidR="008A2507" w:rsidRPr="00A16A52" w:rsidRDefault="008A2507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7.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《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“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不忘初心、牢记使命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”</w:t>
      </w:r>
      <w:r w:rsidR="00465A39"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优秀共产党员先进事迹选编》</w:t>
      </w:r>
    </w:p>
    <w:p w:rsidR="008A2507" w:rsidRPr="00A16A52" w:rsidRDefault="008A2507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8.</w:t>
      </w:r>
      <w:r w:rsidRPr="00A16A52">
        <w:rPr>
          <w:rFonts w:ascii="Times New Roman" w:eastAsia="方正仿宋_GBK" w:hAnsi="Times New Roman" w:cs="Times New Roman"/>
          <w:sz w:val="32"/>
          <w:szCs w:val="32"/>
          <w:shd w:val="clear" w:color="auto" w:fill="FFFFFF"/>
        </w:rPr>
        <w:t>广西革命历史</w:t>
      </w:r>
      <w:r w:rsidRPr="00A16A52">
        <w:rPr>
          <w:rFonts w:ascii="Times New Roman" w:eastAsia="方正仿宋_GBK" w:hAnsi="Times New Roman" w:cs="Times New Roman"/>
          <w:sz w:val="28"/>
          <w:szCs w:val="28"/>
        </w:rPr>
        <w:t>题材纪录片《血战湘江》、《红色传奇》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六、</w:t>
      </w:r>
      <w:r w:rsidR="008A2507"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相关</w:t>
      </w:r>
      <w:r w:rsidRPr="00A16A5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要求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1.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参加培训的学员要认真听课，积极思考，做好听课和读书笔记，并积极参加学习讨论和实践活动。学员应严格遵守党校纪律，不得旷课、迟到和早退，确有特殊情况须提前以书面形式请假并经二级党组织</w:t>
      </w:r>
      <w:r w:rsidR="00B8392F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、党委组织部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批准。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2.</w:t>
      </w:r>
      <w:r w:rsidR="00B8392F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各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二级</w:t>
      </w:r>
      <w:r w:rsidR="00B8392F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党组织要认真督促学员参加学习培训，并协助分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校党委党校做好对学员的管理和分组讨论的组织。各</w:t>
      </w:r>
      <w:r w:rsidR="00B8392F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小组分组讨论后梳理上报讨论情况。分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校党委党校将根据情况派出人员参与和督查分组讨论情况。</w:t>
      </w:r>
    </w:p>
    <w:p w:rsidR="009254A5" w:rsidRPr="00A16A52" w:rsidRDefault="009254A5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3.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学习结束后，每位学员要结合学习和工作实际，认真填写《中共桂林理工大学委员会党校干部培训结业鉴定表》，由二级</w:t>
      </w:r>
      <w:r w:rsidR="00580B82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党组织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收齐后，于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培训结束一周内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统一交</w:t>
      </w:r>
      <w:r w:rsidR="00580B82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分校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党委党校</w:t>
      </w:r>
      <w:r w:rsidR="00580B82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（组织部办公室）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。</w:t>
      </w:r>
    </w:p>
    <w:p w:rsidR="00375D03" w:rsidRPr="00A16A52" w:rsidRDefault="00375D03" w:rsidP="00AF0116">
      <w:pPr>
        <w:spacing w:line="560" w:lineRule="exact"/>
        <w:jc w:val="center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lastRenderedPageBreak/>
        <w:t xml:space="preserve">    </w:t>
      </w:r>
    </w:p>
    <w:p w:rsidR="00375D03" w:rsidRPr="00A16A52" w:rsidRDefault="00375D03" w:rsidP="00AF0116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附件：桂林理工大学南宁分校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党支部书记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“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不忘初心、牢记使命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”</w:t>
      </w:r>
      <w:r w:rsidR="008A2507"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主题教育专题培训班</w:t>
      </w:r>
      <w:r w:rsidRPr="00A16A52">
        <w:rPr>
          <w:rFonts w:ascii="Times New Roman" w:eastAsia="方正仿宋_GBK" w:hAnsi="Times New Roman" w:cs="Times New Roman"/>
          <w:kern w:val="0"/>
          <w:sz w:val="32"/>
          <w:szCs w:val="32"/>
        </w:rPr>
        <w:t>日程安排表</w:t>
      </w:r>
    </w:p>
    <w:p w:rsidR="00E15CB7" w:rsidRPr="00A16A52" w:rsidRDefault="00E15CB7" w:rsidP="00AF0116">
      <w:pPr>
        <w:spacing w:line="560" w:lineRule="exact"/>
        <w:ind w:right="640"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0B204E" w:rsidRPr="00A16A52" w:rsidRDefault="000B204E" w:rsidP="00AF0116">
      <w:pPr>
        <w:spacing w:line="560" w:lineRule="exact"/>
        <w:ind w:right="640" w:firstLineChars="350" w:firstLine="1120"/>
        <w:rPr>
          <w:rFonts w:ascii="Times New Roman" w:eastAsia="方正仿宋_GBK" w:hAnsi="Times New Roman" w:cs="Times New Roman"/>
          <w:sz w:val="32"/>
          <w:szCs w:val="32"/>
        </w:rPr>
      </w:pPr>
    </w:p>
    <w:p w:rsidR="009254A5" w:rsidRPr="00A16A52" w:rsidRDefault="00E15CB7" w:rsidP="00AF0116">
      <w:pPr>
        <w:spacing w:line="560" w:lineRule="exact"/>
        <w:ind w:right="640" w:firstLineChars="250" w:firstLine="800"/>
        <w:jc w:val="right"/>
        <w:rPr>
          <w:rFonts w:ascii="Times New Roman" w:eastAsia="方正仿宋_GBK" w:hAnsi="Times New Roman" w:cs="Times New Roman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sz w:val="32"/>
          <w:szCs w:val="32"/>
        </w:rPr>
        <w:t>南宁分校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“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不忘初心、牢记使命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”</w:t>
      </w:r>
      <w:r w:rsidRPr="00A16A52">
        <w:rPr>
          <w:rFonts w:ascii="Times New Roman" w:eastAsia="方正仿宋_GBK" w:hAnsi="Times New Roman" w:cs="Times New Roman"/>
          <w:sz w:val="32"/>
          <w:szCs w:val="32"/>
        </w:rPr>
        <w:t>主题教育工作领导小组</w:t>
      </w:r>
    </w:p>
    <w:p w:rsidR="009254A5" w:rsidRPr="00A16A52" w:rsidRDefault="00E15CB7" w:rsidP="00AF0116">
      <w:pPr>
        <w:widowControl/>
        <w:shd w:val="clear" w:color="auto" w:fill="FFFFFF"/>
        <w:spacing w:line="560" w:lineRule="exact"/>
        <w:ind w:right="960"/>
        <w:jc w:val="right"/>
        <w:rPr>
          <w:rFonts w:ascii="Times New Roman" w:eastAsia="方正仿宋_GBK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                  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党委组织部</w:t>
      </w:r>
    </w:p>
    <w:p w:rsidR="009254A5" w:rsidRPr="00A16A52" w:rsidRDefault="000B204E" w:rsidP="00AF0116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         </w:t>
      </w:r>
      <w:r w:rsidR="00E15CB7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           </w:t>
      </w:r>
      <w:r w:rsidR="00E15CB7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 xml:space="preserve"> </w:t>
      </w:r>
      <w:r w:rsidR="00EF676F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2019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年</w:t>
      </w:r>
      <w:r w:rsidR="00B359FC">
        <w:rPr>
          <w:rFonts w:ascii="Times New Roman" w:eastAsia="方正仿宋_GBK" w:hAnsi="Times New Roman" w:cs="Times New Roman" w:hint="eastAsia"/>
          <w:color w:val="000000"/>
          <w:kern w:val="0"/>
          <w:sz w:val="32"/>
          <w:szCs w:val="32"/>
        </w:rPr>
        <w:t>9</w:t>
      </w:r>
      <w:bookmarkStart w:id="0" w:name="_GoBack"/>
      <w:bookmarkEnd w:id="0"/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月</w:t>
      </w:r>
      <w:r w:rsidR="008A2507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25</w:t>
      </w:r>
      <w:r w:rsidR="009254A5" w:rsidRPr="00A16A52"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  <w:t>日</w:t>
      </w:r>
    </w:p>
    <w:p w:rsidR="008416FA" w:rsidRPr="00A16A52" w:rsidRDefault="008416FA" w:rsidP="00AF0116">
      <w:pPr>
        <w:widowControl/>
        <w:shd w:val="clear" w:color="auto" w:fill="FFFFFF"/>
        <w:spacing w:line="56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A2507" w:rsidRDefault="008A2507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AF0116" w:rsidRDefault="00AF0116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AF0116" w:rsidRPr="00A16A52" w:rsidRDefault="00AF0116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A2507" w:rsidRPr="00A16A52" w:rsidRDefault="008A2507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A2507" w:rsidRPr="00A16A52" w:rsidRDefault="008A2507" w:rsidP="000B204E">
      <w:pPr>
        <w:widowControl/>
        <w:shd w:val="clear" w:color="auto" w:fill="FFFFFF"/>
        <w:spacing w:line="580" w:lineRule="exact"/>
        <w:ind w:firstLineChars="200" w:firstLine="640"/>
        <w:jc w:val="right"/>
        <w:rPr>
          <w:rFonts w:ascii="Times New Roman" w:eastAsia="方正仿宋_GBK" w:hAnsi="Times New Roman" w:cs="Times New Roman"/>
          <w:color w:val="000000"/>
          <w:kern w:val="0"/>
          <w:sz w:val="32"/>
          <w:szCs w:val="32"/>
        </w:rPr>
      </w:pPr>
    </w:p>
    <w:p w:rsidR="008416FA" w:rsidRPr="00A16A52" w:rsidRDefault="008416FA" w:rsidP="000B204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8416FA" w:rsidRPr="00A16A52" w:rsidRDefault="008416FA" w:rsidP="000B204E">
      <w:pPr>
        <w:adjustRightInd w:val="0"/>
        <w:snapToGrid w:val="0"/>
        <w:spacing w:line="580" w:lineRule="exact"/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</w:pPr>
      <w:r w:rsidRPr="00A16A5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lastRenderedPageBreak/>
        <w:t>附件</w:t>
      </w:r>
      <w:r w:rsidRPr="00A16A5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1</w:t>
      </w:r>
      <w:r w:rsidRPr="00A16A52">
        <w:rPr>
          <w:rFonts w:ascii="Times New Roman" w:eastAsia="方正仿宋_GBK" w:hAnsi="Times New Roman" w:cs="Times New Roman"/>
          <w:color w:val="000000" w:themeColor="text1"/>
          <w:sz w:val="32"/>
          <w:szCs w:val="32"/>
        </w:rPr>
        <w:t>：</w:t>
      </w:r>
    </w:p>
    <w:p w:rsidR="008A2507" w:rsidRPr="00A16A52" w:rsidRDefault="008A2507" w:rsidP="000B204E">
      <w:pPr>
        <w:spacing w:line="580" w:lineRule="exact"/>
        <w:ind w:firstLineChars="200" w:firstLine="640"/>
        <w:jc w:val="center"/>
        <w:rPr>
          <w:rFonts w:ascii="Times New Roman" w:eastAsia="方正小标宋简体" w:hAnsi="Times New Roman" w:cs="Times New Roman"/>
          <w:kern w:val="0"/>
          <w:sz w:val="32"/>
          <w:szCs w:val="32"/>
        </w:rPr>
      </w:pPr>
      <w:r w:rsidRPr="00A16A52">
        <w:rPr>
          <w:rFonts w:ascii="Times New Roman" w:eastAsia="方正小标宋简体" w:hAnsi="Times New Roman" w:cs="Times New Roman"/>
          <w:kern w:val="0"/>
          <w:sz w:val="32"/>
          <w:szCs w:val="32"/>
        </w:rPr>
        <w:t>桂林理工大学南宁分校党支部书记</w:t>
      </w:r>
      <w:r w:rsidRPr="00A16A52">
        <w:rPr>
          <w:rFonts w:ascii="Times New Roman" w:eastAsia="方正小标宋简体" w:hAnsi="Times New Roman" w:cs="Times New Roman"/>
          <w:kern w:val="0"/>
          <w:sz w:val="32"/>
          <w:szCs w:val="32"/>
        </w:rPr>
        <w:t>“</w:t>
      </w:r>
      <w:r w:rsidRPr="00A16A52">
        <w:rPr>
          <w:rFonts w:ascii="Times New Roman" w:eastAsia="方正小标宋简体" w:hAnsi="Times New Roman" w:cs="Times New Roman"/>
          <w:kern w:val="0"/>
          <w:sz w:val="32"/>
          <w:szCs w:val="32"/>
        </w:rPr>
        <w:t>不忘初心、牢记使命</w:t>
      </w:r>
      <w:r w:rsidRPr="00A16A52">
        <w:rPr>
          <w:rFonts w:ascii="Times New Roman" w:eastAsia="方正小标宋简体" w:hAnsi="Times New Roman" w:cs="Times New Roman"/>
          <w:kern w:val="0"/>
          <w:sz w:val="32"/>
          <w:szCs w:val="32"/>
        </w:rPr>
        <w:t>”</w:t>
      </w:r>
      <w:r w:rsidRPr="00A16A52">
        <w:rPr>
          <w:rFonts w:ascii="Times New Roman" w:eastAsia="方正小标宋简体" w:hAnsi="Times New Roman" w:cs="Times New Roman"/>
          <w:kern w:val="0"/>
          <w:sz w:val="32"/>
          <w:szCs w:val="32"/>
        </w:rPr>
        <w:t>主题教育专题培训班日程安排表</w:t>
      </w:r>
    </w:p>
    <w:tbl>
      <w:tblPr>
        <w:tblW w:w="972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338"/>
        <w:gridCol w:w="2435"/>
        <w:gridCol w:w="1843"/>
        <w:gridCol w:w="1173"/>
      </w:tblGrid>
      <w:tr w:rsidR="008A2507" w:rsidRPr="00A16A52" w:rsidTr="00A16A52">
        <w:trPr>
          <w:trHeight w:val="930"/>
          <w:tblHeader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16A52" w:rsidRDefault="000B204E" w:rsidP="000B204E">
            <w:pPr>
              <w:tabs>
                <w:tab w:val="left" w:pos="838"/>
              </w:tabs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序号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16A52" w:rsidRDefault="008A2507" w:rsidP="000B204E">
            <w:pPr>
              <w:tabs>
                <w:tab w:val="left" w:pos="838"/>
              </w:tabs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培训内容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16A52" w:rsidRDefault="008A2507" w:rsidP="000B204E">
            <w:pPr>
              <w:tabs>
                <w:tab w:val="left" w:pos="838"/>
              </w:tabs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主讲人</w:t>
            </w: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br/>
            </w: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或负责部门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16A52" w:rsidRDefault="008A2507" w:rsidP="000B204E">
            <w:pPr>
              <w:tabs>
                <w:tab w:val="left" w:pos="838"/>
              </w:tabs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时间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16A52" w:rsidRDefault="008A2507" w:rsidP="000B204E">
            <w:pPr>
              <w:tabs>
                <w:tab w:val="left" w:pos="838"/>
              </w:tabs>
              <w:spacing w:line="580" w:lineRule="exact"/>
              <w:jc w:val="center"/>
              <w:rPr>
                <w:rFonts w:ascii="Times New Roman" w:eastAsia="黑体" w:hAnsi="Times New Roman" w:cs="Times New Roman"/>
                <w:bCs/>
                <w:sz w:val="28"/>
                <w:szCs w:val="32"/>
              </w:rPr>
            </w:pPr>
            <w:r w:rsidRPr="00A16A52">
              <w:rPr>
                <w:rFonts w:ascii="Times New Roman" w:eastAsia="黑体" w:hAnsi="Times New Roman" w:cs="Times New Roman"/>
                <w:bCs/>
                <w:sz w:val="28"/>
                <w:szCs w:val="32"/>
              </w:rPr>
              <w:t>地点</w:t>
            </w:r>
          </w:p>
        </w:tc>
      </w:tr>
      <w:tr w:rsidR="008A2507" w:rsidRPr="00A16A52" w:rsidTr="00A16A52">
        <w:trPr>
          <w:trHeight w:val="620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8A2507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开班典礼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组织部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27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9:00 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－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9:30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图书馆报告厅</w:t>
            </w:r>
          </w:p>
        </w:tc>
      </w:tr>
      <w:tr w:rsidR="008A2507" w:rsidRPr="00A16A52" w:rsidTr="00A16A52">
        <w:trPr>
          <w:trHeight w:val="69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8A2507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专题讲座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F0116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学校党委副书记</w:t>
            </w:r>
            <w:r w:rsidR="00AF0116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 xml:space="preserve"> </w:t>
            </w:r>
            <w:proofErr w:type="gramStart"/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赣华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27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  <w:r w:rsidR="00A16A52"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:30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－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A2507" w:rsidRPr="00A16A52" w:rsidTr="00A16A52">
        <w:trPr>
          <w:trHeight w:val="696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8A2507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建国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70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周年伟大成就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学校党委书记</w:t>
            </w:r>
          </w:p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李国忠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待定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8408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报告厅</w:t>
            </w:r>
          </w:p>
        </w:tc>
      </w:tr>
      <w:tr w:rsidR="008A2507" w:rsidRPr="00A16A52" w:rsidTr="00A16A52">
        <w:trPr>
          <w:trHeight w:val="693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8A2507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民族宗教专题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学校党委常委、统战部部长邱杰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待定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图书馆报告厅</w:t>
            </w:r>
          </w:p>
        </w:tc>
      </w:tr>
      <w:tr w:rsidR="008A2507" w:rsidRPr="00A16A52" w:rsidTr="00A16A52">
        <w:trPr>
          <w:trHeight w:val="68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8A2507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《党章》及相关文件解读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南宁分校党委书记</w:t>
            </w:r>
            <w:proofErr w:type="gramStart"/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周国桥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待定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8A2507" w:rsidRPr="00A16A52" w:rsidTr="00A16A52">
        <w:trPr>
          <w:trHeight w:val="68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507" w:rsidRPr="00AF0116" w:rsidRDefault="00197D69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意识形态工作专题报告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071F35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崇左市社科联主席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</w:t>
            </w:r>
            <w:r w:rsidR="00071F35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郑孟阳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待定</w:t>
            </w: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8A2507" w:rsidRPr="00AF0116" w:rsidRDefault="008A2507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197D69" w:rsidRPr="00A16A52" w:rsidTr="00A16A52">
        <w:trPr>
          <w:trHeight w:val="68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D69" w:rsidRPr="00AF0116" w:rsidRDefault="00197D69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现场教学：参观龙州起义纪念馆、红八军军部旧址</w:t>
            </w:r>
          </w:p>
        </w:tc>
        <w:tc>
          <w:tcPr>
            <w:tcW w:w="2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党委组织部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月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29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17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龙州</w:t>
            </w:r>
          </w:p>
        </w:tc>
      </w:tr>
      <w:tr w:rsidR="00197D69" w:rsidRPr="00A16A52" w:rsidTr="00A16A52">
        <w:trPr>
          <w:trHeight w:val="68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7D69" w:rsidRPr="00AF0116" w:rsidRDefault="00197D69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专题研讨：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“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知史爱党、知史爱国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”</w:t>
            </w: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2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11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97D69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</w:tr>
      <w:tr w:rsidR="00364AB0" w:rsidRPr="00A16A52" w:rsidTr="00A16A52">
        <w:trPr>
          <w:trHeight w:val="689"/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B0" w:rsidRPr="00AF0116" w:rsidRDefault="00197D69" w:rsidP="00A16A52">
            <w:pPr>
              <w:tabs>
                <w:tab w:val="left" w:pos="838"/>
              </w:tabs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64AB0" w:rsidRPr="00AF0116" w:rsidRDefault="00364AB0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视频学习：观看广西革命历史题材纪录片《血战湘江》、《红色传奇》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AB0" w:rsidRPr="00AF0116" w:rsidRDefault="00364AB0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各小组组长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AB0" w:rsidRPr="00AF0116" w:rsidRDefault="00364AB0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自定</w:t>
            </w:r>
          </w:p>
        </w:tc>
        <w:tc>
          <w:tcPr>
            <w:tcW w:w="117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64AB0" w:rsidRPr="00AF0116" w:rsidRDefault="00197D69" w:rsidP="00A16A52">
            <w:pPr>
              <w:spacing w:line="480" w:lineRule="exac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AF0116">
              <w:rPr>
                <w:rFonts w:ascii="Times New Roman" w:eastAsia="方正仿宋_GBK" w:hAnsi="Times New Roman" w:cs="Times New Roman"/>
                <w:sz w:val="28"/>
                <w:szCs w:val="28"/>
              </w:rPr>
              <w:t>自定</w:t>
            </w:r>
          </w:p>
        </w:tc>
      </w:tr>
    </w:tbl>
    <w:p w:rsidR="00AF0116" w:rsidRPr="00725A74" w:rsidRDefault="00AF0116" w:rsidP="00AF0116">
      <w:pPr>
        <w:tabs>
          <w:tab w:val="left" w:pos="838"/>
        </w:tabs>
        <w:spacing w:line="276" w:lineRule="auto"/>
        <w:ind w:firstLineChars="200" w:firstLine="560"/>
        <w:rPr>
          <w:rFonts w:ascii="Times New Roman" w:eastAsia="方正仿宋_GBK" w:hAnsi="Times New Roman" w:cs="Times New Roman"/>
          <w:sz w:val="28"/>
          <w:szCs w:val="28"/>
        </w:rPr>
      </w:pPr>
      <w:r w:rsidRPr="00725A74">
        <w:rPr>
          <w:rFonts w:ascii="Times New Roman" w:eastAsia="方正仿宋_GBK" w:hAnsi="Times New Roman" w:cs="Times New Roman"/>
          <w:sz w:val="28"/>
          <w:szCs w:val="28"/>
        </w:rPr>
        <w:t>注：具体安排将根据实际情况进行调整。</w:t>
      </w:r>
    </w:p>
    <w:p w:rsidR="008416FA" w:rsidRPr="00AF0116" w:rsidRDefault="008416FA" w:rsidP="00A16A52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p w:rsidR="0061011A" w:rsidRPr="00A16A52" w:rsidRDefault="0061011A" w:rsidP="000B204E">
      <w:pPr>
        <w:spacing w:line="580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61011A" w:rsidRPr="00A16A52" w:rsidSect="00E15CB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BF" w:rsidRDefault="006A16BF" w:rsidP="00C83D6B">
      <w:r>
        <w:separator/>
      </w:r>
    </w:p>
  </w:endnote>
  <w:endnote w:type="continuationSeparator" w:id="0">
    <w:p w:rsidR="006A16BF" w:rsidRDefault="006A16BF" w:rsidP="00C83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BF" w:rsidRDefault="006A16BF" w:rsidP="00C83D6B">
      <w:r>
        <w:separator/>
      </w:r>
    </w:p>
  </w:footnote>
  <w:footnote w:type="continuationSeparator" w:id="0">
    <w:p w:rsidR="006A16BF" w:rsidRDefault="006A16BF" w:rsidP="00C83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16"/>
    <w:rsid w:val="000043E1"/>
    <w:rsid w:val="000470E0"/>
    <w:rsid w:val="00071F35"/>
    <w:rsid w:val="000B204E"/>
    <w:rsid w:val="000B5B26"/>
    <w:rsid w:val="0014100B"/>
    <w:rsid w:val="00141DF5"/>
    <w:rsid w:val="00197D69"/>
    <w:rsid w:val="001F04C4"/>
    <w:rsid w:val="001F19E2"/>
    <w:rsid w:val="00206586"/>
    <w:rsid w:val="00286211"/>
    <w:rsid w:val="00364AB0"/>
    <w:rsid w:val="00375D03"/>
    <w:rsid w:val="00377530"/>
    <w:rsid w:val="00465970"/>
    <w:rsid w:val="00465A39"/>
    <w:rsid w:val="004E40F3"/>
    <w:rsid w:val="00521757"/>
    <w:rsid w:val="00543046"/>
    <w:rsid w:val="00580B82"/>
    <w:rsid w:val="005D3407"/>
    <w:rsid w:val="0061011A"/>
    <w:rsid w:val="00632B78"/>
    <w:rsid w:val="006A16BF"/>
    <w:rsid w:val="006B5E30"/>
    <w:rsid w:val="006C7770"/>
    <w:rsid w:val="00706911"/>
    <w:rsid w:val="007647C5"/>
    <w:rsid w:val="00773189"/>
    <w:rsid w:val="007E7C35"/>
    <w:rsid w:val="0082408F"/>
    <w:rsid w:val="008416FA"/>
    <w:rsid w:val="008A2507"/>
    <w:rsid w:val="009254A5"/>
    <w:rsid w:val="009479D4"/>
    <w:rsid w:val="00976217"/>
    <w:rsid w:val="009A64C9"/>
    <w:rsid w:val="00A16A52"/>
    <w:rsid w:val="00AF0116"/>
    <w:rsid w:val="00AF204E"/>
    <w:rsid w:val="00B071BE"/>
    <w:rsid w:val="00B33E16"/>
    <w:rsid w:val="00B359FC"/>
    <w:rsid w:val="00B55063"/>
    <w:rsid w:val="00B8392F"/>
    <w:rsid w:val="00BB0767"/>
    <w:rsid w:val="00C02056"/>
    <w:rsid w:val="00C31AC5"/>
    <w:rsid w:val="00C54648"/>
    <w:rsid w:val="00C83D6B"/>
    <w:rsid w:val="00C90D48"/>
    <w:rsid w:val="00C97C9F"/>
    <w:rsid w:val="00CB075E"/>
    <w:rsid w:val="00CB588F"/>
    <w:rsid w:val="00D40979"/>
    <w:rsid w:val="00D63590"/>
    <w:rsid w:val="00D8401B"/>
    <w:rsid w:val="00DB0903"/>
    <w:rsid w:val="00E15CB7"/>
    <w:rsid w:val="00E633C9"/>
    <w:rsid w:val="00EB64D9"/>
    <w:rsid w:val="00EF676F"/>
    <w:rsid w:val="00F31C3E"/>
    <w:rsid w:val="00F418EA"/>
    <w:rsid w:val="00F84595"/>
    <w:rsid w:val="00FA29F7"/>
    <w:rsid w:val="00FF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25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8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D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5B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B26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416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41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254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83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3D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3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3D6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B5B2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B5B26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416FA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4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1033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1326454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0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77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8D7D7"/>
                    <w:bottom w:val="single" w:sz="6" w:space="23" w:color="D8D7D7"/>
                    <w:right w:val="single" w:sz="6" w:space="0" w:color="D8D7D7"/>
                  </w:divBdr>
                  <w:divsChild>
                    <w:div w:id="91143366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cp:lastPrinted>2019-09-26T01:23:00Z</cp:lastPrinted>
  <dcterms:created xsi:type="dcterms:W3CDTF">2018-03-14T01:44:00Z</dcterms:created>
  <dcterms:modified xsi:type="dcterms:W3CDTF">2019-09-27T00:42:00Z</dcterms:modified>
</cp:coreProperties>
</file>